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B2" w:rsidRPr="000B4DA5" w:rsidRDefault="00C571B2" w:rsidP="00C571B2">
      <w:pPr>
        <w:spacing w:after="0" w:line="360" w:lineRule="auto"/>
        <w:ind w:left="-142" w:right="-1"/>
        <w:jc w:val="center"/>
        <w:rPr>
          <w:rFonts w:eastAsia="Times New Roman"/>
          <w:b/>
          <w:noProof/>
          <w:sz w:val="28"/>
          <w:szCs w:val="28"/>
          <w:lang w:val="uk-UA" w:eastAsia="ru-RU"/>
        </w:rPr>
      </w:pPr>
      <w:r w:rsidRPr="000B4DA5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7FB56D69" wp14:editId="6E335618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B2" w:rsidRPr="00AD438F" w:rsidRDefault="00C571B2" w:rsidP="00C571B2">
      <w:pPr>
        <w:spacing w:after="0" w:line="360" w:lineRule="auto"/>
        <w:ind w:left="-142"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AD4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Хохітвянська</w:t>
      </w:r>
      <w:proofErr w:type="spellEnd"/>
      <w:r w:rsidRPr="00AD4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гімназія</w:t>
      </w:r>
    </w:p>
    <w:p w:rsidR="00C571B2" w:rsidRDefault="00C571B2" w:rsidP="00C571B2">
      <w:pPr>
        <w:spacing w:after="0" w:line="360" w:lineRule="auto"/>
        <w:ind w:left="-142"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D4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Богуславської міської ради Київської області</w:t>
      </w:r>
    </w:p>
    <w:p w:rsidR="00C571B2" w:rsidRDefault="00C571B2" w:rsidP="00C571B2">
      <w:pPr>
        <w:spacing w:after="0" w:line="360" w:lineRule="auto"/>
        <w:ind w:left="-142"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571B2" w:rsidRPr="00222452" w:rsidRDefault="00C571B2" w:rsidP="00C571B2">
      <w:pPr>
        <w:spacing w:after="0" w:line="360" w:lineRule="auto"/>
        <w:ind w:left="-142"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НАКАЗ</w:t>
      </w:r>
    </w:p>
    <w:p w:rsidR="00C571B2" w:rsidRDefault="00C571B2" w:rsidP="00C571B2">
      <w:pPr>
        <w:spacing w:after="0"/>
        <w:ind w:left="-142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01 вересня</w:t>
      </w:r>
      <w:r w:rsidRPr="00AD4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Pr="00AD438F">
        <w:rPr>
          <w:rFonts w:ascii="Times New Roman" w:eastAsia="Times New Roman" w:hAnsi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с. Хохітва                   </w:t>
      </w:r>
      <w:r w:rsidRPr="000B4D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AD4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B4D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AD4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</w:p>
    <w:p w:rsidR="00C571B2" w:rsidRDefault="00C571B2" w:rsidP="00C571B2">
      <w:pPr>
        <w:spacing w:after="0" w:line="240" w:lineRule="auto"/>
        <w:ind w:left="-142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571B2" w:rsidRPr="00C571B2" w:rsidRDefault="00C571B2" w:rsidP="00C5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1B2" w:rsidRPr="00C571B2" w:rsidRDefault="00C571B2" w:rsidP="00C571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упередження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жорстокого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поводження</w:t>
      </w:r>
      <w:proofErr w:type="spellEnd"/>
    </w:p>
    <w:p w:rsidR="00C571B2" w:rsidRPr="00C571B2" w:rsidRDefault="00C571B2" w:rsidP="00C571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дітьми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загрози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його</w:t>
      </w:r>
      <w:proofErr w:type="spellEnd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вчинення</w:t>
      </w:r>
      <w:proofErr w:type="spellEnd"/>
    </w:p>
    <w:bookmarkEnd w:id="0"/>
    <w:p w:rsid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законами України «Про охорону дитинства» (ст.10),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запобігання та протидію домашньому насильству», «Про внесення змін до деяких законодавчих актів України протидії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(цькуванню)», «Про протидію торгівлі людьми», відповідно до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від 22.08.2018 №658, Порядку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№585 (із змінами від 28.07.2021 №775) «Про забезпечення соціального захисту дітей, які перебувають у складних життєвих обставинах», Порядку реагування на випадки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затвердженого наказом Міністерства освіти і науки України від 28.12.2019 №1646 «Деякі питання реагування на випадки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та застосування заходів виховного впливу в закладах освіти», згідно з рекомендаціями та роз’ясненнями, викладеними у листах Міністерства освіти і науки №1/11-881 від 29.01.2019 «Рекомендацій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(цькування)» від 18.12.2018 №2657-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ІІІ», від 13.04.2020 №1/9-207 щодо застосування наказу Міністерства освіти і науки України від 28.12.2019 №1646; на виконання листів Міністерства освіти і науки України від 26.08.2021 №1/9-423 «Про виконання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 щодо законодавства захисту дітей, які перебувають у складних життєвих обставинах, у тому числі постраждали від жорсто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кого поводження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інших нормативно-правових актів з питань охорони дитинства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організації в закладі дієвої роботи з упередження жорстокого поводження з діт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ьми або загрози його вчинення</w:t>
      </w:r>
    </w:p>
    <w:p w:rsidR="00C571B2" w:rsidRDefault="00C571B2" w:rsidP="00C571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71B2" w:rsidRPr="00C571B2" w:rsidRDefault="00C571B2" w:rsidP="00C571B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НАКАЗУЮ:</w:t>
      </w:r>
      <w:r w:rsidRPr="00C5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Миргородській Л.П., з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навчально-виховної роботи 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1.1.Забезпечити активну системну співпрацю з підрозділами ювенальної превенції Національної поліції України, службами у справах дітей, органами опіки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піклування, іншими органами та установами, які здійснюють правовий захист дітей, заходи щодо профілактики злочинності неповнолітніх, дитячої бездоглядності й безпритульності: проводити спільні зі спеціалістами профільних служб інформаційні заходи щодо недопущення усіх форм насильства та інших проявів жорстокого поводження з дітьми; експлуатації, включаючи сексуальне насильство; втягнення у злочинну діяльність; залучення до вживання алкоголю, наркотичних засобів і психотропних речовин; залучення до екстремістських релігійних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психокультових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угруповань та течій; примушування до проституції, жебрацтва, бродяжництва, втягнення до азартних ігор тощо.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Впродовж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1.2.При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вчасного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упередження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</w:t>
      </w: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разі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виявлення</w:t>
      </w:r>
      <w:proofErr w:type="spellEnd"/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1.3.Ознайомити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Порядком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(Порядком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Порядком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домашньому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Порядком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</w:t>
      </w: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обставинах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571B2" w:rsidRPr="00C571B2" w:rsidRDefault="00C571B2" w:rsidP="00C571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20.09.202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1.4.Організувати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початкове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роботу)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періодичне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ідше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про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(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(додаток</w:t>
      </w: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                                                                                                              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20.09.202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1.5.Скласти і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09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.09.202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1.7.Активізувати роботу  «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скриньок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оновити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переліком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будь-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кризових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імназії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15.09.202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1.8.Проводити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(шляхом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іжвідомчої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Щоквартально                                                                                         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1.9.Здійснювати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учнівському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Щоквартально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методичному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залученням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потребою, але не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ідше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разу на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рік</w:t>
      </w:r>
      <w:proofErr w:type="spellEnd"/>
    </w:p>
    <w:p w:rsidR="00C571B2" w:rsidRPr="00C571B2" w:rsidRDefault="0021552F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роз’яснювальної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духовного, </w:t>
      </w:r>
      <w:proofErr w:type="spellStart"/>
      <w:proofErr w:type="gram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недопущення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жорстокого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ними.</w:t>
      </w:r>
    </w:p>
    <w:p w:rsidR="00C571B2" w:rsidRPr="00C571B2" w:rsidRDefault="00C571B2" w:rsidP="002155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="0021552F" w:rsidRP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Впродовж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21552F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2.Класним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1-9</w:t>
      </w:r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gramStart"/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вихователям д/с</w:t>
      </w:r>
      <w:r w:rsidR="00C571B2"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2.1.Забезпечувати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неухильне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протидію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Постійно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2.2.Здійснювати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свободу,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недоторканість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Постійно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2.3.Забезпечувати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на принципах,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ґрунтуються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взаємоповазі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виключають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Впродовж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2.4.Проводити заходи,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прав, свобод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Впродовж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2.5.Забезпечити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правовиховної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роз’яснювальної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дискримінації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21552F" w:rsidRP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Впродовж </w:t>
      </w:r>
      <w:proofErr w:type="spell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навчального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року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Карпінській</w:t>
      </w:r>
      <w:proofErr w:type="spellEnd"/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А.І., с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оціальному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Колісник Ю.К.,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нізатору</w:t>
      </w:r>
      <w:proofErr w:type="spellEnd"/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Постійно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3.2.Забезпечити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колективах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правопорушень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учнівському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Двічі на </w:t>
      </w:r>
      <w:proofErr w:type="spellStart"/>
      <w:proofErr w:type="gramStart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ік</w:t>
      </w:r>
      <w:proofErr w:type="spellEnd"/>
      <w:r w:rsidRPr="00C57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571B2" w:rsidRP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3.3.Розмістити на доступному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закладу, до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оперативного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номер телефону 1547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Урядової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телефонні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гарячої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0 800 500 225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116 111 (для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дзвінків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мобільного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71B2" w:rsidRPr="00C571B2" w:rsidRDefault="0021552F" w:rsidP="002155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До </w:t>
      </w:r>
      <w:r w:rsidRP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15.09.202</w:t>
      </w:r>
      <w:r w:rsidRPr="00215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 року</w:t>
      </w:r>
    </w:p>
    <w:p w:rsidR="00C571B2" w:rsidRDefault="00C571B2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4.Контроль за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Pr="00C5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21552F" w:rsidRDefault="0021552F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552F" w:rsidRPr="00C571B2" w:rsidRDefault="0021552F" w:rsidP="00C5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В. о. директора 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21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Людмила МИРГОРОДСЬКА</w:t>
      </w:r>
    </w:p>
    <w:p w:rsidR="007472F9" w:rsidRDefault="007472F9" w:rsidP="00C571B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552F" w:rsidRPr="0021552F" w:rsidRDefault="0021552F" w:rsidP="0021552F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 xml:space="preserve">_______ М. </w:t>
      </w:r>
      <w:proofErr w:type="spellStart"/>
      <w:r w:rsidRPr="009F4E06">
        <w:rPr>
          <w:sz w:val="28"/>
          <w:szCs w:val="28"/>
          <w:lang w:val="uk-UA"/>
        </w:rPr>
        <w:t>Пампущенко</w:t>
      </w:r>
      <w:proofErr w:type="spellEnd"/>
      <w:r w:rsidRPr="009F4E06">
        <w:rPr>
          <w:sz w:val="28"/>
          <w:szCs w:val="28"/>
          <w:lang w:val="uk-UA"/>
        </w:rPr>
        <w:t xml:space="preserve">                                     _______ А. </w:t>
      </w:r>
      <w:proofErr w:type="spellStart"/>
      <w:r w:rsidRPr="009F4E06">
        <w:rPr>
          <w:sz w:val="28"/>
          <w:szCs w:val="28"/>
          <w:lang w:val="uk-UA"/>
        </w:rPr>
        <w:t>Горовенко</w:t>
      </w:r>
      <w:proofErr w:type="spellEnd"/>
      <w:r w:rsidRPr="009F4E06">
        <w:rPr>
          <w:sz w:val="28"/>
          <w:szCs w:val="28"/>
          <w:lang w:val="uk-UA"/>
        </w:rPr>
        <w:br/>
        <w:t xml:space="preserve">_______ Л. Шевченко                                           _______ А. </w:t>
      </w:r>
      <w:proofErr w:type="spellStart"/>
      <w:r w:rsidRPr="009F4E06">
        <w:rPr>
          <w:sz w:val="28"/>
          <w:szCs w:val="28"/>
          <w:lang w:val="uk-UA"/>
        </w:rPr>
        <w:t>Карпінська</w:t>
      </w:r>
      <w:proofErr w:type="spellEnd"/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 xml:space="preserve">_______ Є. </w:t>
      </w:r>
      <w:proofErr w:type="spellStart"/>
      <w:r w:rsidRPr="009F4E06">
        <w:rPr>
          <w:sz w:val="28"/>
          <w:szCs w:val="28"/>
          <w:lang w:val="uk-UA"/>
        </w:rPr>
        <w:t>Маценко</w:t>
      </w:r>
      <w:proofErr w:type="spellEnd"/>
      <w:r w:rsidRPr="009F4E06">
        <w:rPr>
          <w:sz w:val="28"/>
          <w:szCs w:val="28"/>
          <w:lang w:val="uk-UA"/>
        </w:rPr>
        <w:t xml:space="preserve">                                             _______ О. </w:t>
      </w:r>
      <w:proofErr w:type="spellStart"/>
      <w:r w:rsidRPr="009F4E06">
        <w:rPr>
          <w:sz w:val="28"/>
          <w:szCs w:val="28"/>
          <w:lang w:val="uk-UA"/>
        </w:rPr>
        <w:t>Односум</w:t>
      </w:r>
      <w:proofErr w:type="spellEnd"/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>_______ І. Ткаченко                                             ________ О. Кобеляцька</w:t>
      </w:r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>_______ Ю. Колісник                                           ________ В. Іващенко</w:t>
      </w:r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>_______ О. Степанова                                          ________ О. Сидоренко</w:t>
      </w:r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 xml:space="preserve">_______ О. Лисюк                                                ________  А. </w:t>
      </w:r>
      <w:proofErr w:type="spellStart"/>
      <w:r w:rsidRPr="009F4E06">
        <w:rPr>
          <w:sz w:val="28"/>
          <w:szCs w:val="28"/>
          <w:lang w:val="uk-UA"/>
        </w:rPr>
        <w:t>Козленко</w:t>
      </w:r>
      <w:proofErr w:type="spellEnd"/>
    </w:p>
    <w:p w:rsidR="0021552F" w:rsidRPr="009F4E06" w:rsidRDefault="0021552F" w:rsidP="0021552F">
      <w:pPr>
        <w:pStyle w:val="a5"/>
        <w:ind w:left="218"/>
        <w:rPr>
          <w:sz w:val="28"/>
          <w:szCs w:val="28"/>
          <w:lang w:val="uk-UA"/>
        </w:rPr>
      </w:pPr>
      <w:r w:rsidRPr="009F4E06">
        <w:rPr>
          <w:sz w:val="28"/>
          <w:szCs w:val="28"/>
          <w:lang w:val="uk-UA"/>
        </w:rPr>
        <w:t xml:space="preserve">_______ Д. </w:t>
      </w:r>
      <w:proofErr w:type="spellStart"/>
      <w:r w:rsidRPr="009F4E06">
        <w:rPr>
          <w:sz w:val="28"/>
          <w:szCs w:val="28"/>
          <w:lang w:val="uk-UA"/>
        </w:rPr>
        <w:t>Джемелінська</w:t>
      </w:r>
      <w:proofErr w:type="spellEnd"/>
      <w:r w:rsidRPr="009F4E06">
        <w:rPr>
          <w:sz w:val="28"/>
          <w:szCs w:val="28"/>
          <w:lang w:val="uk-UA"/>
        </w:rPr>
        <w:t xml:space="preserve"> – Скалозуб                ________ Л. </w:t>
      </w:r>
      <w:proofErr w:type="spellStart"/>
      <w:r w:rsidRPr="009F4E06">
        <w:rPr>
          <w:sz w:val="28"/>
          <w:szCs w:val="28"/>
          <w:lang w:val="uk-UA"/>
        </w:rPr>
        <w:t>Чернейчук</w:t>
      </w:r>
      <w:proofErr w:type="spellEnd"/>
    </w:p>
    <w:p w:rsidR="0021552F" w:rsidRPr="009F4E06" w:rsidRDefault="0021552F" w:rsidP="0021552F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21552F" w:rsidRPr="0021552F" w:rsidRDefault="0021552F" w:rsidP="00C571B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552F" w:rsidRPr="002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D3"/>
    <w:rsid w:val="0021552F"/>
    <w:rsid w:val="007472F9"/>
    <w:rsid w:val="00C571B2"/>
    <w:rsid w:val="00D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2022-12-16T16:41:00Z</dcterms:created>
  <dcterms:modified xsi:type="dcterms:W3CDTF">2022-12-16T16:58:00Z</dcterms:modified>
</cp:coreProperties>
</file>